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45" w:type="dxa"/>
        <w:tblInd w:w="96" w:type="dxa"/>
        <w:shd w:val="clear" w:color="auto" w:fill="auto"/>
        <w:tblLayout w:type="fixed"/>
        <w:tblCellMar>
          <w:top w:w="0" w:type="dxa"/>
          <w:left w:w="108" w:type="dxa"/>
          <w:bottom w:w="0" w:type="dxa"/>
          <w:right w:w="108" w:type="dxa"/>
        </w:tblCellMar>
      </w:tblPr>
      <w:tblGrid>
        <w:gridCol w:w="787"/>
        <w:gridCol w:w="3522"/>
        <w:gridCol w:w="9636"/>
      </w:tblGrid>
      <w:tr>
        <w:tblPrEx>
          <w:tblCellMar>
            <w:top w:w="0" w:type="dxa"/>
            <w:left w:w="108" w:type="dxa"/>
            <w:bottom w:w="0" w:type="dxa"/>
            <w:right w:w="108" w:type="dxa"/>
          </w:tblCellMar>
        </w:tblPrEx>
        <w:trPr>
          <w:trHeight w:val="408" w:hRule="atLeast"/>
        </w:trPr>
        <w:tc>
          <w:tcPr>
            <w:tcW w:w="13945" w:type="dxa"/>
            <w:gridSpan w:val="3"/>
            <w:tcBorders>
              <w:top w:val="nil"/>
              <w:left w:val="nil"/>
              <w:bottom w:val="nil"/>
              <w:right w:val="nil"/>
            </w:tcBorders>
            <w:shd w:val="clear" w:color="auto" w:fill="auto"/>
            <w:noWrap/>
            <w:vAlign w:val="center"/>
          </w:tcPr>
          <w:p>
            <w:pPr>
              <w:tabs>
                <w:tab w:val="left" w:pos="852"/>
              </w:tabs>
              <w:bidi w:val="0"/>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附件</w:t>
            </w:r>
          </w:p>
        </w:tc>
      </w:tr>
      <w:tr>
        <w:tblPrEx>
          <w:tblCellMar>
            <w:top w:w="0" w:type="dxa"/>
            <w:left w:w="108" w:type="dxa"/>
            <w:bottom w:w="0" w:type="dxa"/>
            <w:right w:w="108" w:type="dxa"/>
          </w:tblCellMar>
        </w:tblPrEx>
        <w:trPr>
          <w:trHeight w:val="613" w:hRule="atLeast"/>
        </w:trPr>
        <w:tc>
          <w:tcPr>
            <w:tcW w:w="13945"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2024年度青海省科学技术奖综合评审结果</w:t>
            </w:r>
          </w:p>
        </w:tc>
      </w:tr>
      <w:tr>
        <w:tblPrEx>
          <w:shd w:val="clear" w:color="auto" w:fill="auto"/>
          <w:tblCellMar>
            <w:top w:w="0" w:type="dxa"/>
            <w:left w:w="108" w:type="dxa"/>
            <w:bottom w:w="0" w:type="dxa"/>
            <w:right w:w="108" w:type="dxa"/>
          </w:tblCellMar>
        </w:tblPrEx>
        <w:trPr>
          <w:trHeight w:val="600" w:hRule="atLeast"/>
        </w:trPr>
        <w:tc>
          <w:tcPr>
            <w:tcW w:w="13945"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一、科学技术重大贡献奖</w:t>
            </w:r>
          </w:p>
        </w:tc>
      </w:tr>
      <w:tr>
        <w:tblPrEx>
          <w:shd w:val="clear" w:color="auto" w:fill="auto"/>
          <w:tblCellMar>
            <w:top w:w="0" w:type="dxa"/>
            <w:left w:w="108" w:type="dxa"/>
            <w:bottom w:w="0" w:type="dxa"/>
            <w:right w:w="108" w:type="dxa"/>
          </w:tblCellMar>
        </w:tblPrEx>
        <w:trPr>
          <w:trHeight w:val="51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候选人姓名</w:t>
            </w:r>
          </w:p>
        </w:tc>
        <w:tc>
          <w:tcPr>
            <w:tcW w:w="96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工作单位</w:t>
            </w:r>
          </w:p>
        </w:tc>
      </w:tr>
      <w:tr>
        <w:tblPrEx>
          <w:shd w:val="clear" w:color="auto" w:fill="auto"/>
          <w:tblCellMar>
            <w:top w:w="0" w:type="dxa"/>
            <w:left w:w="108" w:type="dxa"/>
            <w:bottom w:w="0" w:type="dxa"/>
            <w:right w:w="108" w:type="dxa"/>
          </w:tblCellMar>
        </w:tblPrEx>
        <w:trPr>
          <w:trHeight w:val="51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李润杰</w:t>
            </w:r>
          </w:p>
        </w:tc>
        <w:tc>
          <w:tcPr>
            <w:tcW w:w="9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青海大学</w:t>
            </w:r>
          </w:p>
        </w:tc>
      </w:tr>
    </w:tbl>
    <w:p/>
    <w:p>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二、科学技术合作奖</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5098"/>
        <w:gridCol w:w="8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序号</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候选人姓名</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董家鸿</w:t>
            </w:r>
          </w:p>
        </w:tc>
        <w:tc>
          <w:tcPr>
            <w:tcW w:w="8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清华大学附属北京清华长庚医院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黄越辉</w:t>
            </w:r>
          </w:p>
        </w:tc>
        <w:tc>
          <w:tcPr>
            <w:tcW w:w="8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中国电力科学研究院有限公司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李威</w:t>
            </w:r>
          </w:p>
        </w:tc>
        <w:tc>
          <w:tcPr>
            <w:tcW w:w="8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国电南瑞科技股份有限公司</w:t>
            </w:r>
          </w:p>
        </w:tc>
      </w:tr>
    </w:tbl>
    <w:p/>
    <w:tbl>
      <w:tblPr>
        <w:tblStyle w:val="6"/>
        <w:tblW w:w="13945" w:type="dxa"/>
        <w:tblInd w:w="96" w:type="dxa"/>
        <w:shd w:val="clear" w:color="auto" w:fill="auto"/>
        <w:tblLayout w:type="fixed"/>
        <w:tblCellMar>
          <w:top w:w="0" w:type="dxa"/>
          <w:left w:w="108" w:type="dxa"/>
          <w:bottom w:w="0" w:type="dxa"/>
          <w:right w:w="108" w:type="dxa"/>
        </w:tblCellMar>
      </w:tblPr>
      <w:tblGrid>
        <w:gridCol w:w="787"/>
        <w:gridCol w:w="3522"/>
        <w:gridCol w:w="5088"/>
        <w:gridCol w:w="3060"/>
        <w:gridCol w:w="1488"/>
      </w:tblGrid>
      <w:tr>
        <w:tblPrEx>
          <w:tblCellMar>
            <w:top w:w="0" w:type="dxa"/>
            <w:left w:w="108" w:type="dxa"/>
            <w:bottom w:w="0" w:type="dxa"/>
            <w:right w:w="108" w:type="dxa"/>
          </w:tblCellMar>
        </w:tblPrEx>
        <w:trPr>
          <w:trHeight w:val="624" w:hRule="atLeast"/>
        </w:trPr>
        <w:tc>
          <w:tcPr>
            <w:tcW w:w="13945"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三、自然科学奖</w:t>
            </w:r>
          </w:p>
        </w:tc>
      </w:tr>
      <w:tr>
        <w:tblPrEx>
          <w:shd w:val="clear" w:color="auto" w:fill="auto"/>
          <w:tblCellMar>
            <w:top w:w="0" w:type="dxa"/>
            <w:left w:w="108" w:type="dxa"/>
            <w:bottom w:w="0" w:type="dxa"/>
            <w:right w:w="108" w:type="dxa"/>
          </w:tblCellMar>
        </w:tblPrEx>
        <w:trPr>
          <w:trHeight w:val="53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完成单位</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完成人</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建议等级</w:t>
            </w:r>
          </w:p>
        </w:tc>
      </w:tr>
      <w:tr>
        <w:tblPrEx>
          <w:shd w:val="clear" w:color="auto" w:fill="auto"/>
          <w:tblCellMar>
            <w:top w:w="0" w:type="dxa"/>
            <w:left w:w="108" w:type="dxa"/>
            <w:bottom w:w="0" w:type="dxa"/>
            <w:right w:w="108" w:type="dxa"/>
          </w:tblCellMar>
        </w:tblPrEx>
        <w:trPr>
          <w:trHeight w:val="66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全球变化背景下高寒草地生态系统碳氮磷交互作用研究</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中国科学院植物研究所；中国科学院西北高原生物研究所</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rPr>
              <w:t>杨元合；彭云峰；周国英；陈蕾伊；张典业</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71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青藏高原鱼类进化适应与资源保护</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中国科学院西北高原生物研究所；青海大学；青海省渔业技术推广中心</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sz w:val="22"/>
                <w:szCs w:val="22"/>
                <w:u w:val="none"/>
              </w:rPr>
              <w:t>赵凯；祁得林；田菲；刘思嘉；李柯懋</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664" w:hRule="atLeast"/>
        </w:trPr>
        <w:tc>
          <w:tcPr>
            <w:tcW w:w="7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复杂场地波动理论及屏障隔振机理</w:t>
            </w:r>
          </w:p>
        </w:tc>
        <w:tc>
          <w:tcPr>
            <w:tcW w:w="50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青海大学；兰州理工大学；天津大学；北京交通大学</w:t>
            </w:r>
          </w:p>
        </w:tc>
        <w:tc>
          <w:tcPr>
            <w:tcW w:w="30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马强；周凤玺；巴振宁；马蒙</w:t>
            </w:r>
          </w:p>
        </w:tc>
        <w:tc>
          <w:tcPr>
            <w:tcW w:w="14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700"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麦类黑穗病的侵染机制、检测技术及防控基础</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青海大学农林科学院（青海省农林科学院）；中国农业科学院植物保护研究所；山东省农业技术推广中心</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高利；姚强；蔺瑞明；郭青云；金扬秀</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bl>
    <w:p/>
    <w:p/>
    <w:tbl>
      <w:tblPr>
        <w:tblStyle w:val="6"/>
        <w:tblW w:w="13945" w:type="dxa"/>
        <w:tblInd w:w="96" w:type="dxa"/>
        <w:shd w:val="clear" w:color="auto" w:fill="auto"/>
        <w:tblLayout w:type="fixed"/>
        <w:tblCellMar>
          <w:top w:w="0" w:type="dxa"/>
          <w:left w:w="108" w:type="dxa"/>
          <w:bottom w:w="0" w:type="dxa"/>
          <w:right w:w="108" w:type="dxa"/>
        </w:tblCellMar>
      </w:tblPr>
      <w:tblGrid>
        <w:gridCol w:w="787"/>
        <w:gridCol w:w="3522"/>
        <w:gridCol w:w="5088"/>
        <w:gridCol w:w="3060"/>
        <w:gridCol w:w="1488"/>
      </w:tblGrid>
      <w:tr>
        <w:tblPrEx>
          <w:tblCellMar>
            <w:top w:w="0" w:type="dxa"/>
            <w:left w:w="108" w:type="dxa"/>
            <w:bottom w:w="0" w:type="dxa"/>
            <w:right w:w="108" w:type="dxa"/>
          </w:tblCellMar>
        </w:tblPrEx>
        <w:trPr>
          <w:trHeight w:val="700" w:hRule="atLeast"/>
        </w:trPr>
        <w:tc>
          <w:tcPr>
            <w:tcW w:w="13945" w:type="dxa"/>
            <w:gridSpan w:val="5"/>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kern w:val="0"/>
                <w:sz w:val="32"/>
                <w:szCs w:val="32"/>
                <w:u w:val="none"/>
                <w:lang w:val="en-US" w:eastAsia="zh-CN" w:bidi="ar"/>
              </w:rPr>
              <w:t>四、技术发明奖</w:t>
            </w:r>
          </w:p>
        </w:tc>
      </w:tr>
      <w:tr>
        <w:tblPrEx>
          <w:shd w:val="clear" w:color="auto" w:fill="auto"/>
          <w:tblCellMar>
            <w:top w:w="0" w:type="dxa"/>
            <w:left w:w="108" w:type="dxa"/>
            <w:bottom w:w="0" w:type="dxa"/>
            <w:right w:w="108" w:type="dxa"/>
          </w:tblCellMar>
        </w:tblPrEx>
        <w:trPr>
          <w:trHeight w:val="510" w:hRule="exac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序号</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项目名称</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完成单位</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完成人</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黑体" w:hAnsi="宋体" w:eastAsia="黑体" w:cs="黑体"/>
                <w:b/>
                <w:bCs/>
                <w:i w:val="0"/>
                <w:iCs w:val="0"/>
                <w:color w:val="000000"/>
                <w:kern w:val="0"/>
                <w:sz w:val="24"/>
                <w:szCs w:val="24"/>
                <w:u w:val="none"/>
                <w:lang w:val="en-US" w:eastAsia="zh-CN" w:bidi="ar"/>
              </w:rPr>
              <w:t>建议等级</w:t>
            </w:r>
          </w:p>
        </w:tc>
      </w:tr>
      <w:tr>
        <w:tblPrEx>
          <w:shd w:val="clear" w:color="auto" w:fill="auto"/>
          <w:tblCellMar>
            <w:top w:w="0" w:type="dxa"/>
            <w:left w:w="108" w:type="dxa"/>
            <w:bottom w:w="0" w:type="dxa"/>
            <w:right w:w="108" w:type="dxa"/>
          </w:tblCellMar>
        </w:tblPrEx>
        <w:trPr>
          <w:trHeight w:val="700"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柴达木南北缘大深度高精度近源电磁勘探技术</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青海省第三地质勘查院；中国科学院地质与地球物理研究所</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薛国强；武欣；周楠楠；陈卫营；孟军海；喻忠鸿</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700"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光伏组件规模化绿色回收技术及装备研究</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青海黄河上游水电开发有限责任公司；国家电投集团青海光伏产业创新中心有限公司；青海黄河上游水电开发有限责任公司光伏产业技术分公司</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郑璐；何银凤；韩金豆；姚小彦；张占升；牛力同</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700"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青藏高原水生态智能监测信息传输与存储、识别与可视化关键技术</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青海师范大学；兰州大学</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杜秀娟；金龙；柳秀秀；王丽娟；韩多亮</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700"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异常高盐油藏调堵驱关键技术</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中国石油天然气股份有限公司青海油田分公司</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朱秀雨；李星国；扈福堂；薛世团；濮兰天；贾志伟</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bl>
    <w:p>
      <w:pPr>
        <w:rPr>
          <w:rFonts w:hint="eastAsia" w:ascii="宋体" w:hAnsi="宋体" w:eastAsia="宋体" w:cs="宋体"/>
          <w:b/>
          <w:bCs/>
          <w:i w:val="0"/>
          <w:iCs w:val="0"/>
          <w:color w:val="000000"/>
          <w:kern w:val="0"/>
          <w:sz w:val="32"/>
          <w:szCs w:val="32"/>
          <w:u w:val="none"/>
          <w:lang w:val="en-US" w:eastAsia="zh-CN" w:bidi="ar"/>
        </w:rPr>
      </w:pPr>
    </w:p>
    <w:p>
      <w:r>
        <w:rPr>
          <w:rFonts w:hint="eastAsia" w:ascii="宋体" w:hAnsi="宋体" w:eastAsia="宋体" w:cs="宋体"/>
          <w:b/>
          <w:bCs/>
          <w:i w:val="0"/>
          <w:iCs w:val="0"/>
          <w:color w:val="000000"/>
          <w:kern w:val="0"/>
          <w:sz w:val="32"/>
          <w:szCs w:val="32"/>
          <w:u w:val="none"/>
          <w:lang w:val="en-US" w:eastAsia="zh-CN" w:bidi="ar"/>
        </w:rPr>
        <w:t>五、科学技术进步奖</w:t>
      </w:r>
    </w:p>
    <w:tbl>
      <w:tblPr>
        <w:tblStyle w:val="6"/>
        <w:tblW w:w="14158" w:type="dxa"/>
        <w:tblInd w:w="96" w:type="dxa"/>
        <w:shd w:val="clear" w:color="auto" w:fill="auto"/>
        <w:tblLayout w:type="fixed"/>
        <w:tblCellMar>
          <w:top w:w="0" w:type="dxa"/>
          <w:left w:w="108" w:type="dxa"/>
          <w:bottom w:w="0" w:type="dxa"/>
          <w:right w:w="108" w:type="dxa"/>
        </w:tblCellMar>
      </w:tblPr>
      <w:tblGrid>
        <w:gridCol w:w="787"/>
        <w:gridCol w:w="3522"/>
        <w:gridCol w:w="5301"/>
        <w:gridCol w:w="3312"/>
        <w:gridCol w:w="1236"/>
      </w:tblGrid>
      <w:tr>
        <w:tblPrEx>
          <w:tblCellMar>
            <w:top w:w="0" w:type="dxa"/>
            <w:left w:w="108" w:type="dxa"/>
            <w:bottom w:w="0" w:type="dxa"/>
            <w:right w:w="108" w:type="dxa"/>
          </w:tblCellMar>
        </w:tblPrEx>
        <w:trPr>
          <w:trHeight w:val="510" w:hRule="atLeast"/>
          <w:tblHead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3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5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完成单位</w:t>
            </w:r>
          </w:p>
        </w:tc>
        <w:tc>
          <w:tcPr>
            <w:tcW w:w="3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完成人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建议等级</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w:t>
            </w:r>
          </w:p>
        </w:tc>
        <w:tc>
          <w:tcPr>
            <w:tcW w:w="352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柴达木盐湖矿产理论创新与资源保障</w:t>
            </w:r>
          </w:p>
        </w:tc>
        <w:tc>
          <w:tcPr>
            <w:tcW w:w="53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青海省柴达木综合地质矿产勘查院；青海省地质调查院；青海省地质矿产勘查开发局；中国科学院青海盐湖研究所</w:t>
            </w:r>
          </w:p>
        </w:tc>
        <w:tc>
          <w:tcPr>
            <w:tcW w:w="33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sz w:val="22"/>
                <w:szCs w:val="22"/>
                <w:u w:val="none"/>
              </w:rPr>
              <w:t>潘彤；李东生；李洪普；韩光；李得刚；张晓冬；汪青川；贾建团；袁文虎；张金明；李永寿；朱传宝；刘久波；陈金牛；丛晓明</w:t>
            </w:r>
          </w:p>
        </w:tc>
        <w:tc>
          <w:tcPr>
            <w:tcW w:w="12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2</w:t>
            </w:r>
          </w:p>
        </w:tc>
        <w:tc>
          <w:tcPr>
            <w:tcW w:w="352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环境友好型旋流泄洪消能关键技术及应用</w:t>
            </w:r>
          </w:p>
        </w:tc>
        <w:tc>
          <w:tcPr>
            <w:tcW w:w="53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青海黄河上游水电开发有限责任公司；中国电建集团西北勘测设计研究院有限公司；中国水利水电科学研究院；中国水利水电第四工程局有限公司；西北农林科技大学</w:t>
            </w:r>
          </w:p>
        </w:tc>
        <w:tc>
          <w:tcPr>
            <w:tcW w:w="33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rPr>
              <w:t>周恒；谢小平；郭新蕾；张文山；胡一栋；丁新潮；李跃涛；刘世隆；王涛；尹进步；许建军；付辉；王卫国；董兴林；吴涛</w:t>
            </w:r>
          </w:p>
        </w:tc>
        <w:tc>
          <w:tcPr>
            <w:tcW w:w="12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3</w:t>
            </w:r>
          </w:p>
        </w:tc>
        <w:tc>
          <w:tcPr>
            <w:tcW w:w="352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青海省退化高寒草地修复理论、技术创新与应用</w:t>
            </w:r>
          </w:p>
        </w:tc>
        <w:tc>
          <w:tcPr>
            <w:tcW w:w="53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中国科学院西北高原生物研究所；青海大学；中国农业大学；兰州大学；青海省气象科学研究所；中国科学院青藏高原研究所；天水师范学院；果洛藏族自治州林业和草原站</w:t>
            </w:r>
          </w:p>
        </w:tc>
        <w:tc>
          <w:tcPr>
            <w:tcW w:w="33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rPr>
              <w:t>周华坤；赵新全；邵新庆；徐成体；李文龙；孙建；于红妍；周秉荣；曲家鹏；张波；王晓丽；石国玺；李宏林；贺有龙；赵晓军</w:t>
            </w:r>
          </w:p>
        </w:tc>
        <w:tc>
          <w:tcPr>
            <w:tcW w:w="12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4</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柴西坳陷古-新近系全油气系统环带成藏理论及工业化实践</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中国石油天然气股份有限公司青海油田分公司；中国石油天然气股份有限公司勘探开发研究院；中国石油大学（北京）；西南石油大学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sz w:val="22"/>
                <w:szCs w:val="22"/>
                <w:u w:val="none"/>
              </w:rPr>
              <w:t>刘国勇；薛建勤；伍坤宇；吴松涛；刘占国；王波；张博策；吴颜雄；邢浩婷；张庆辉；周飞；邢星；王兆兵；姜营海；乔柏翰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5</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高海拔地区设施蔬菜关键技术体系构建与创新应用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农林科学院（青海省农林科学院）；沈阳农业大学；北京市农林科学院；青海省农业技术推广总站；大通回族土族自治县蔬菜技术服务中心；互助土族自治县蔬菜技术服务中心；海东市乐都区蔬菜技术服务中心</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sz w:val="22"/>
                <w:szCs w:val="22"/>
                <w:u w:val="none"/>
              </w:rPr>
              <w:t>钟启文；杜中平；张广楠；邵登魁；陈来生；缪祥辉；白义奎；孙周平；季延海；景慧；张广生；朱安香；龚初军；钟应霞；马国业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6</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支撑大型新能源基地稳定外送的关键装备及协调控制技术</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国网青海省电力公司；国网经济技术研究院有限公司；中国电力科学研究院有限公司；国家电网有限公司西北分部；青海黄河上游水电开发有限责任公司</w:t>
            </w:r>
            <w:bookmarkStart w:id="0" w:name="_GoBack"/>
            <w:bookmarkEnd w:id="0"/>
            <w:r>
              <w:rPr>
                <w:rFonts w:hint="eastAsia" w:asciiTheme="minorEastAsia" w:hAnsiTheme="minorEastAsia" w:eastAsiaTheme="minorEastAsia" w:cstheme="minorEastAsia"/>
                <w:i w:val="0"/>
                <w:iCs w:val="0"/>
                <w:color w:val="auto"/>
                <w:kern w:val="0"/>
                <w:sz w:val="22"/>
                <w:szCs w:val="22"/>
                <w:u w:val="none"/>
                <w:lang w:val="en-US" w:eastAsia="zh-CN" w:bidi="ar"/>
              </w:rPr>
              <w:t>；哈尔滨电机厂有限责任公司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sz w:val="22"/>
                <w:szCs w:val="22"/>
                <w:u w:val="none"/>
              </w:rPr>
              <w:t>陈春萌；蒋维勇；张怡；杨明凯；李志强；何飞；陈宁；王菲；王亦婷；索之闻；卢国强；程林；黄浩；李剑；宦兴胜</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一等奖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cstheme="minorEastAsia"/>
                <w:i w:val="0"/>
                <w:iCs w:val="0"/>
                <w:color w:val="auto"/>
                <w:kern w:val="0"/>
                <w:sz w:val="22"/>
                <w:szCs w:val="22"/>
                <w:u w:val="none"/>
                <w:lang w:val="en-US" w:eastAsia="zh-CN" w:bidi="ar"/>
              </w:rPr>
              <w:t>7</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高纯多晶硅低消耗生产技术的开发与大规模应用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亚洲硅业(青海)股份有限公司；青海省亚硅硅材料工程技术有限公司；青海民族大学；青海亚洲硅业多晶硅有限公司；青海亚洲硅业半导体有限公司；青海亚洲硅业硅材料有限公司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sz w:val="22"/>
                <w:szCs w:val="22"/>
                <w:u w:val="none"/>
              </w:rPr>
              <w:t>王体虎；张宝顺；冉胜国；王志权；任长春；宗冰；郭光伟；陈聪；肖建忠；尹东林；郑连基；梁哲</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边远地区独立供能系统优化运行控制及智慧运维关键技术及应用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国网青海省电力公司；华北电力大学；中国科学院电工研究所；中国电力科学研究院有限公司；山东大学；中国铁路青藏集团有限公司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李正曦；王一波；肖峰；华光辉；李春来；邢挺；刘庭响；张峰；陈媛媛；杨立滨；杨海波；赵大为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重点藏药品种有效性研究与安全性评价</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金诃藏药股份有限公司；青海省藏医药研究院；中国科学院西北高原生物研究所；青海大学；青海省藏医院</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多杰；袁发荣；李啟恩；班玛才仁；李岑；娘毛才；陈海莲；尼玛才让；郭肖；杜连平；王海苹；肖远灿</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源荷高效互动背景下多元储能协同配置与运营关键技术及应用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国网青海省电力公司；华中科技大学；华北电力大学；青海格尔木鲁能新能源有限公司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娄素华；田旭；马雪；张祥成；刘飞；杨海林；汪鹏；吴耀武；李红霞；苟晓侃；张桂红；祁万年</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硼资源绿色高效分离及高端硼酸智造技术与装备集成的产业示范</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中国科学院青海盐湖研究所；青海利亚达化工有限公司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李丽娟；李洪岭；彭小五；时东；姬连敏；张利诚；张宁红；鲁海龙；宋富根；张禹泽；杨娣；谢绍雷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柴达木盆地复杂气藏精细开发关键技术创新与规模应用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中国石油天然气股份有限公司青海油田分公司；西南石油大学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朱忠伟；王小鲁；奎明清；李江涛；温中林；徐晓玲；张栋；沈生福；谭晓华；孙勇；杨国军；李溢龙</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高寒牧区智慧畜牧业技术研发与现代牧场模式创新应用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青海大学；中国科学院西北高原生物研究所；中国农业大学；清华大学；青海净意信息科技有限公司；安徽农业大学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董全民；徐世晓；杨富裕；陶品；张春平；赵娜；张强龙；丁颖；俞 旸；张子军；丁路明；孟林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超低浓度含锂卤水“一步法”制取电池级碳酸锂关键技术研究与应用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格尔木藏格锂业有限公司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朱红卫；张生顺；王守恒；马存彪；寇福成；杜长岳；张学鹏；刘建瑞；刘明洋；张发海；星显新；胡广鱼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面向青藏高原的盐湖老卤资源利用技术体系创建与万吨级产业示范</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山东天力能源股份有限公司；青海盐湖镁业有限公司；中国成达工程有限公司；中国科学院青海盐湖研究所；山东天力科技工程有限公司；重庆大学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王宏耀；谢建明；吴静；车永林；蒋斌；夏风；刘红生；刘国建；黄泽茂；付振海；王寿权；李育亮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高寒区混凝土坝裂缝智能检测与管控决策关键技术</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青海大学；黄河勘测规划设计研究院有限公司；天津大学；黑河黄藏寺水利枢纽工程建设管理中心；中国水利水电第四工程局有限公司；中国葛洲坝集团三峡建设工程有限公司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于立新；谢遵党；孙新建；张梦溪；张俊涛；李明超；贾敬立；贾超；张永宏；王飞；任秋兵；沈扬</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二等奖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青海油田油气效益建产关键技术创新与年百万吨规模工业化应用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中国石油天然气股份有限公司青海油田分公司；中国石油大学（北京）</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石道涵；宋伟；谢琳；唐士跃；马凤春；林海；申颍浩；林长庆；刘世铎；陈杰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青海省贵德盆地地热—干热岩勘查关键技术及潜力评价研究</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青海省环境地质勘查局；吉林大学；青海省地质调查局；青海九零九工程勘察设计院有限责任公司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赵振；雷玉德；罗银飞；许伟林；陈惠娟；张延军；王万平；朱进守；杨绍康；秦光雄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青海特色粮豆品质评价及功能化加工关键技术与应用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青海大学；江南大学；青海省农林科学院；青海天佑德科技投资管理集团有限公司；中国农业科学院农产品加工研究所</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党斌；杨希娟；李娟；杜艳；王凤忠；张文刚；张杰；梁锋；单斌；范蓓</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基于健康栽培的高原蔬菜土传病害生态治理技术创新与应用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青海大学农林科学院(青海省农林科学院)；中国农业科学院植物保护研究所；青海省农业技术推广总站；北京启高生物科技有限公司；西宁市农产品质量检测中心</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李屹；韩睿；孙漫红；田洁；李世东；史瑞琪；钟增明；郭荣君；胡波；张煜</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高原特殊地层滑坡与工程边坡灾变防控理论与技术</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中铁二十一局集团第四工程有限公司；中铁西北科学研究院有限公司；青海民族大学；西南交通大学；兰州交通大学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吴红刚；杲斐；李双营；朱兆荣；杨涛；刘忠厚；牌立芳；杨昊天；王文芳；李永强</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面向沙戈荒大规模清洁能源送出的输电线路安全可靠运行关键技术及应用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国网青海省电力公司电力科学研究院；国网新疆电力有限公司电力科学研究院；中国电力科学研究院有限公司；华北电力大学；北京交通大学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王生富；刘云鹏；何</w:t>
            </w:r>
            <w:r>
              <w:rPr>
                <w:rFonts w:hint="eastAsia" w:asciiTheme="minorEastAsia" w:hAnsiTheme="minorEastAsia" w:eastAsiaTheme="minorEastAsia" w:cstheme="minorEastAsia"/>
                <w:i w:val="0"/>
                <w:iCs w:val="0"/>
                <w:color w:val="000000"/>
                <w:sz w:val="22"/>
                <w:szCs w:val="22"/>
                <w:u w:val="none"/>
                <w:lang w:val="en-US" w:eastAsia="zh-CN"/>
              </w:rPr>
              <w:t>成</w:t>
            </w:r>
            <w:r>
              <w:rPr>
                <w:rFonts w:hint="eastAsia" w:asciiTheme="minorEastAsia" w:hAnsiTheme="minorEastAsia" w:eastAsiaTheme="minorEastAsia" w:cstheme="minorEastAsia"/>
                <w:i w:val="0"/>
                <w:iCs w:val="0"/>
                <w:color w:val="000000"/>
                <w:sz w:val="22"/>
                <w:szCs w:val="22"/>
                <w:u w:val="none"/>
              </w:rPr>
              <w:t>；丁玉剑；蒋玲；何旺龄；黄瑞平；马旭东；黄世龙；康钧</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变暖背景下青海高原气候异常成因、风险及影响评估</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青海省气候中心；中国大气本底基准观象台；陕西省气象科学研究所；青海省人工影响天气办公室；青海省气象科学研究所</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李红梅；申红艳；刘义花；林春英；冯晓莉；严应存；颜玉倩</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青海电网电力监控系统网络安全风险检测及管控关键技术应用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国网青海省电力公司信息通信公司；南京邮电大学；国网青海省电力公司；国网青海省电力公司电力科学研究院；北京科东电力控制系统有限责任公司</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王光辉；苏生平；沙乐天；李楠芳；张海宁；张广德；王云翔；李勃；李宗容；杨莉莉</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蚕豆机械化生产的关键技术研究与集成应用</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青海大学农林科学院(青海省农林科学院)；农业农村部南京农业机械化研究所；中国农业大学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侯万伟；刘玉皎；李萍；滕长才；夏先飞；杨丽；张晓玲；许生福；张宪；郭兴莲</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牦牛寄生虫病流行病学与高效低残留防治新技术集成示范</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青海大学畜牧兽医科学院（青海省畜牧兽医科学院）；中国农业大学；刚察县畜牧兽医站；祁连县畜牧兽医站；玉树州动物疫病预防控制中心</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蔡进忠；李春花；雷萌桐；潘保良；宋永武；陈继勇；王小红；李永</w:t>
            </w:r>
            <w:r>
              <w:rPr>
                <w:rFonts w:hint="eastAsia" w:asciiTheme="minorEastAsia" w:hAnsiTheme="minorEastAsia" w:eastAsiaTheme="minorEastAsia" w:cstheme="minorEastAsia"/>
                <w:i w:val="0"/>
                <w:iCs w:val="0"/>
                <w:color w:val="000000"/>
                <w:sz w:val="22"/>
                <w:szCs w:val="22"/>
                <w:u w:val="none"/>
                <w:lang w:val="en-US" w:eastAsia="zh-CN"/>
              </w:rPr>
              <w:t>钦</w:t>
            </w:r>
            <w:r>
              <w:rPr>
                <w:rFonts w:hint="eastAsia" w:asciiTheme="minorEastAsia" w:hAnsiTheme="minorEastAsia" w:eastAsiaTheme="minorEastAsia" w:cstheme="minorEastAsia"/>
                <w:i w:val="0"/>
                <w:iCs w:val="0"/>
                <w:color w:val="000000"/>
                <w:sz w:val="22"/>
                <w:szCs w:val="22"/>
                <w:u w:val="none"/>
              </w:rPr>
              <w:t>；才让周在；万玛吉</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高寒盐沼区桩基韧性设计理论及建造关键技术</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青海大学；长安大学；青海省交通规划设计研究院有限公司；湖南大学；西安科技大学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冯忠居；邓友生；张文；刘宁；赵明华；王富春；刘强；邹新军；赵衡；张聪</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65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东昆仑东段战略性矿产理论技术创新与找矿突破</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青海省有色第三地质勘查院；青海省有色地质矿产勘查局；中国地质大学（武汉）</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井国正；石文杰；陈海福；李文君；杨宝荣；李小亮；何俊江；赵志新；谭俊；刘晓阳</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青海省昆仑河地区关键矿产理论创新与资源保障</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青海省地质调查院；青海省地质调查局</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王泰山；康继祖；何皎；王富春；王亚栋；李永登；李积清；李玉龙；张鑫利；逯永卓</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r>
        <w:tblPrEx>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青藏高原典型城市群水气土一体化管理及污染控制关键技术集成示范</w:t>
            </w:r>
          </w:p>
        </w:tc>
        <w:tc>
          <w:tcPr>
            <w:tcW w:w="5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青海省生态环境规划和环保技术中心；北华航天工业学院；生态环境部环境规划院；青海省环境科学研究设计院有限公司；中国科学院大学</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sz w:val="22"/>
                <w:szCs w:val="22"/>
                <w:u w:val="none"/>
              </w:rPr>
              <w:t>何跃君；李广英；赵琰鑫；巢世军；张元勋；葛劲松；杜敏洁；陈岩；王凌青；韩秀茹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三等奖</w:t>
            </w:r>
          </w:p>
        </w:tc>
      </w:tr>
    </w:tbl>
    <w:p/>
    <w:p>
      <w:pPr>
        <w:tabs>
          <w:tab w:val="left" w:pos="865"/>
        </w:tabs>
        <w:bidi w:val="0"/>
        <w:jc w:val="left"/>
        <w:rPr>
          <w:rFonts w:hint="default" w:asciiTheme="minorHAnsi" w:hAnsiTheme="minorHAnsi" w:eastAsiaTheme="minorEastAsia" w:cstheme="minorBidi"/>
          <w:kern w:val="2"/>
          <w:sz w:val="21"/>
          <w:szCs w:val="24"/>
          <w:lang w:val="en-US" w:eastAsia="zh-CN" w:bidi="ar-SA"/>
        </w:rPr>
      </w:pPr>
    </w:p>
    <w:sectPr>
      <w:footerReference r:id="rId3" w:type="default"/>
      <w:pgSz w:w="16838" w:h="11906" w:orient="landscape"/>
      <w:pgMar w:top="1803" w:right="1440" w:bottom="1803"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jY3Y2U1MzY4YjU0ZmU5MjRkOWQxMmU2MTA4ZWUifQ=="/>
  </w:docVars>
  <w:rsids>
    <w:rsidRoot w:val="00000000"/>
    <w:rsid w:val="01380A9B"/>
    <w:rsid w:val="05175E5B"/>
    <w:rsid w:val="05247F94"/>
    <w:rsid w:val="056D2E38"/>
    <w:rsid w:val="05F6352F"/>
    <w:rsid w:val="06F7755F"/>
    <w:rsid w:val="07CB44FF"/>
    <w:rsid w:val="07E55D8C"/>
    <w:rsid w:val="0B351878"/>
    <w:rsid w:val="0CD12603"/>
    <w:rsid w:val="0E24787D"/>
    <w:rsid w:val="12006C76"/>
    <w:rsid w:val="13F23AB3"/>
    <w:rsid w:val="145F4995"/>
    <w:rsid w:val="15115C90"/>
    <w:rsid w:val="16F85D5F"/>
    <w:rsid w:val="1B6269F6"/>
    <w:rsid w:val="1B8273B3"/>
    <w:rsid w:val="1C72396A"/>
    <w:rsid w:val="1F751511"/>
    <w:rsid w:val="23F332C1"/>
    <w:rsid w:val="25305187"/>
    <w:rsid w:val="262F4739"/>
    <w:rsid w:val="26C622B6"/>
    <w:rsid w:val="285C6DCA"/>
    <w:rsid w:val="28687E65"/>
    <w:rsid w:val="28AE00E0"/>
    <w:rsid w:val="2FC7492B"/>
    <w:rsid w:val="32855B20"/>
    <w:rsid w:val="330C5891"/>
    <w:rsid w:val="331C411A"/>
    <w:rsid w:val="34766946"/>
    <w:rsid w:val="3A0B6C0F"/>
    <w:rsid w:val="3AEB6496"/>
    <w:rsid w:val="3B180DEB"/>
    <w:rsid w:val="3DD72D62"/>
    <w:rsid w:val="3FD55988"/>
    <w:rsid w:val="40DD5D6B"/>
    <w:rsid w:val="41C10C0B"/>
    <w:rsid w:val="430E697C"/>
    <w:rsid w:val="43273170"/>
    <w:rsid w:val="43F5651C"/>
    <w:rsid w:val="4444134B"/>
    <w:rsid w:val="44DF4BB3"/>
    <w:rsid w:val="46B77134"/>
    <w:rsid w:val="475B3809"/>
    <w:rsid w:val="478036D3"/>
    <w:rsid w:val="48141018"/>
    <w:rsid w:val="481B23A6"/>
    <w:rsid w:val="4A601976"/>
    <w:rsid w:val="4A880D29"/>
    <w:rsid w:val="4C3C5414"/>
    <w:rsid w:val="4DFD53DD"/>
    <w:rsid w:val="517A4125"/>
    <w:rsid w:val="55691246"/>
    <w:rsid w:val="58A261CC"/>
    <w:rsid w:val="59BD5C32"/>
    <w:rsid w:val="5D373386"/>
    <w:rsid w:val="5F5852F2"/>
    <w:rsid w:val="603C7419"/>
    <w:rsid w:val="61E442DC"/>
    <w:rsid w:val="620D2361"/>
    <w:rsid w:val="65BE3B58"/>
    <w:rsid w:val="67555487"/>
    <w:rsid w:val="6792642F"/>
    <w:rsid w:val="686B0388"/>
    <w:rsid w:val="688B1C55"/>
    <w:rsid w:val="695E1C9B"/>
    <w:rsid w:val="69700890"/>
    <w:rsid w:val="6A6C49B9"/>
    <w:rsid w:val="6B1A1714"/>
    <w:rsid w:val="6B6F63A7"/>
    <w:rsid w:val="6B883AD8"/>
    <w:rsid w:val="6BFD1C3F"/>
    <w:rsid w:val="6DA22A9E"/>
    <w:rsid w:val="6DEC105C"/>
    <w:rsid w:val="6E1A0C8E"/>
    <w:rsid w:val="7148395C"/>
    <w:rsid w:val="7170129F"/>
    <w:rsid w:val="71980A09"/>
    <w:rsid w:val="76CA6CA2"/>
    <w:rsid w:val="77190BA4"/>
    <w:rsid w:val="7C857813"/>
    <w:rsid w:val="7DF16847"/>
    <w:rsid w:val="EB5DA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2"/>
    <w:qFormat/>
    <w:uiPriority w:val="0"/>
    <w:pPr>
      <w:spacing w:before="240" w:beforeLines="0" w:after="60" w:afterLines="0"/>
      <w:jc w:val="center"/>
      <w:outlineLvl w:val="0"/>
    </w:pPr>
    <w:rPr>
      <w:rFonts w:ascii="Arial" w:hAnsi="Arial" w:cs="Arial"/>
      <w:b/>
      <w:bCs/>
      <w:sz w:val="32"/>
      <w:szCs w:val="32"/>
    </w:rPr>
  </w:style>
  <w:style w:type="paragraph" w:customStyle="1" w:styleId="8">
    <w:name w:val="Body Text First Indent 2"/>
    <w:basedOn w:val="9"/>
    <w:qFormat/>
    <w:uiPriority w:val="0"/>
    <w:pPr>
      <w:ind w:firstLine="420" w:firstLineChars="200"/>
    </w:pPr>
  </w:style>
  <w:style w:type="paragraph" w:customStyle="1" w:styleId="9">
    <w:name w:val="Body Text Indent"/>
    <w:basedOn w:val="1"/>
    <w:qFormat/>
    <w:uiPriority w:val="0"/>
    <w:pPr>
      <w:spacing w:after="120" w:afterLines="0"/>
      <w:ind w:left="420" w:leftChars="200"/>
    </w:pPr>
  </w:style>
  <w:style w:type="character" w:customStyle="1" w:styleId="10">
    <w:name w:val="font81"/>
    <w:basedOn w:val="7"/>
    <w:qFormat/>
    <w:uiPriority w:val="0"/>
    <w:rPr>
      <w:rFonts w:hint="eastAsia" w:ascii="宋体" w:hAnsi="宋体" w:eastAsia="宋体" w:cs="宋体"/>
      <w:color w:val="000000"/>
      <w:sz w:val="28"/>
      <w:szCs w:val="28"/>
      <w:u w:val="none"/>
    </w:rPr>
  </w:style>
  <w:style w:type="character" w:customStyle="1" w:styleId="11">
    <w:name w:val="font9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502</Words>
  <Characters>587</Characters>
  <Lines>0</Lines>
  <Paragraphs>0</Paragraphs>
  <TotalTime>85</TotalTime>
  <ScaleCrop>false</ScaleCrop>
  <LinksUpToDate>false</LinksUpToDate>
  <CharactersWithSpaces>642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2022-06-12T17:51:00Z</dcterms:created>
  <dc:creator>86135</dc:creator>
  <cp:lastModifiedBy>user</cp:lastModifiedBy>
  <cp:lastPrinted>2024-12-30T14:43:00Z</cp:lastPrinted>
  <dcterms:modified xsi:type="dcterms:W3CDTF">2024-12-30T17:10:28Z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382DFDB141394322A1C11A330DCC5F3F</vt:lpwstr>
  </property>
  <property fmtid="{D5CDD505-2E9C-101B-9397-08002B2CF9AE}" pid="4" name="KSOTemplateDocerSaveRecord">
    <vt:lpwstr>eyJoZGlkIjoiMjFiMjY3Y2U1MzY4YjU0ZmU5MjRkOWQxMmU2MTA4ZWUiLCJ1c2VySWQiOiI1NDg5MjY5NzUifQ==</vt:lpwstr>
  </property>
</Properties>
</file>